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中华人民共和国</w:t>
      </w:r>
      <w:r>
        <w:rPr>
          <w:rFonts w:hint="eastAsia" w:ascii="方正小标宋简体" w:hAnsi="方正小标宋简体" w:eastAsia="方正小标宋简体" w:cs="方正小标宋简体"/>
          <w:b w:val="0"/>
          <w:bCs w:val="0"/>
          <w:sz w:val="44"/>
          <w:szCs w:val="44"/>
          <w:lang w:eastAsia="zh-CN"/>
        </w:rPr>
        <w:t>供销合作</w:t>
      </w:r>
      <w:r>
        <w:rPr>
          <w:rFonts w:hint="eastAsia" w:ascii="方正小标宋简体" w:hAnsi="方正小标宋简体" w:eastAsia="方正小标宋简体" w:cs="方正小标宋简体"/>
          <w:b w:val="0"/>
          <w:bCs w:val="0"/>
          <w:sz w:val="44"/>
          <w:szCs w:val="44"/>
        </w:rPr>
        <w:t>行业标准</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《农资</w:t>
      </w:r>
      <w:r>
        <w:rPr>
          <w:rFonts w:hint="eastAsia" w:ascii="方正小标宋简体" w:hAnsi="方正小标宋简体" w:eastAsia="方正小标宋简体" w:cs="方正小标宋简体"/>
          <w:b w:val="0"/>
          <w:bCs w:val="0"/>
          <w:sz w:val="36"/>
          <w:szCs w:val="36"/>
          <w:lang w:eastAsia="zh-CN"/>
        </w:rPr>
        <w:t>物流标准体系</w:t>
      </w:r>
      <w:r>
        <w:rPr>
          <w:rFonts w:hint="eastAsia" w:ascii="方正小标宋简体" w:hAnsi="方正小标宋简体" w:eastAsia="方正小标宋简体" w:cs="方正小标宋简体"/>
          <w:b w:val="0"/>
          <w:bCs w:val="0"/>
          <w:sz w:val="36"/>
          <w:szCs w:val="36"/>
        </w:rPr>
        <w:t>》</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（征求意见稿）</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6"/>
          <w:szCs w:val="36"/>
        </w:rPr>
      </w:pP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6"/>
          <w:szCs w:val="36"/>
        </w:rPr>
      </w:pP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编制说明</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both"/>
        <w:rPr>
          <w:rFonts w:hint="eastAsia" w:ascii="仿宋_GB2312" w:hAnsi="仿宋_GB2312" w:eastAsia="仿宋_GB2312"/>
          <w:sz w:val="32"/>
        </w:rPr>
      </w:pPr>
    </w:p>
    <w:p>
      <w:pPr>
        <w:keepNext w:val="0"/>
        <w:keepLines w:val="0"/>
        <w:pageBreakBefore w:val="0"/>
        <w:kinsoku/>
        <w:wordWrap/>
        <w:overflowPunct/>
        <w:topLinePunct w:val="0"/>
        <w:bidi w:val="0"/>
        <w:adjustRightInd/>
        <w:snapToGrid/>
        <w:spacing w:line="600" w:lineRule="exact"/>
        <w:ind w:left="0" w:leftChars="0" w:right="0" w:rightChars="0" w:firstLine="640" w:firstLineChars="200"/>
        <w:jc w:val="center"/>
        <w:textAlignment w:val="auto"/>
        <w:outlineLvl w:val="9"/>
        <w:rPr>
          <w:rFonts w:hint="eastAsia" w:ascii="仿宋_GB2312" w:hAnsi="仿宋" w:eastAsia="仿宋_GB2312" w:cs="仿宋"/>
          <w:sz w:val="32"/>
          <w:szCs w:val="32"/>
        </w:rPr>
      </w:pPr>
    </w:p>
    <w:p>
      <w:pPr>
        <w:keepNext w:val="0"/>
        <w:keepLines w:val="0"/>
        <w:pageBreakBefore w:val="0"/>
        <w:kinsoku/>
        <w:wordWrap/>
        <w:overflowPunct/>
        <w:topLinePunct w:val="0"/>
        <w:bidi w:val="0"/>
        <w:adjustRightInd/>
        <w:snapToGrid/>
        <w:spacing w:line="600" w:lineRule="exact"/>
        <w:ind w:left="0" w:leftChars="0" w:right="0" w:rightChars="0" w:firstLine="640" w:firstLineChars="200"/>
        <w:jc w:val="center"/>
        <w:textAlignment w:val="auto"/>
        <w:outlineLvl w:val="9"/>
        <w:rPr>
          <w:rFonts w:hint="eastAsia" w:ascii="仿宋_GB2312" w:hAnsi="仿宋" w:eastAsia="仿宋_GB2312" w:cs="仿宋"/>
          <w:sz w:val="32"/>
          <w:szCs w:val="32"/>
        </w:rPr>
      </w:pPr>
    </w:p>
    <w:p>
      <w:pPr>
        <w:keepNext w:val="0"/>
        <w:keepLines w:val="0"/>
        <w:pageBreakBefore w:val="0"/>
        <w:kinsoku/>
        <w:wordWrap/>
        <w:overflowPunct/>
        <w:topLinePunct w:val="0"/>
        <w:bidi w:val="0"/>
        <w:adjustRightInd/>
        <w:snapToGrid/>
        <w:spacing w:line="600" w:lineRule="exact"/>
        <w:ind w:left="0" w:leftChars="0" w:right="0" w:rightChars="0" w:firstLine="640" w:firstLineChars="200"/>
        <w:jc w:val="center"/>
        <w:textAlignment w:val="auto"/>
        <w:outlineLvl w:val="9"/>
        <w:rPr>
          <w:rFonts w:hint="eastAsia" w:ascii="仿宋_GB2312" w:hAnsi="仿宋" w:eastAsia="仿宋_GB2312" w:cs="仿宋"/>
          <w:sz w:val="32"/>
          <w:szCs w:val="32"/>
        </w:rPr>
      </w:pPr>
    </w:p>
    <w:p>
      <w:pPr>
        <w:keepNext w:val="0"/>
        <w:keepLines w:val="0"/>
        <w:pageBreakBefore w:val="0"/>
        <w:kinsoku/>
        <w:wordWrap/>
        <w:overflowPunct/>
        <w:topLinePunct w:val="0"/>
        <w:bidi w:val="0"/>
        <w:adjustRightInd/>
        <w:snapToGrid/>
        <w:spacing w:line="600" w:lineRule="exact"/>
        <w:ind w:left="0" w:leftChars="0" w:right="0" w:rightChars="0" w:firstLine="640" w:firstLineChars="200"/>
        <w:jc w:val="center"/>
        <w:textAlignment w:val="auto"/>
        <w:outlineLvl w:val="9"/>
        <w:rPr>
          <w:rFonts w:hint="eastAsia" w:ascii="仿宋_GB2312" w:hAnsi="仿宋" w:eastAsia="仿宋_GB2312" w:cs="仿宋"/>
          <w:sz w:val="32"/>
          <w:szCs w:val="32"/>
        </w:rPr>
      </w:pPr>
    </w:p>
    <w:p>
      <w:pPr>
        <w:keepNext w:val="0"/>
        <w:keepLines w:val="0"/>
        <w:pageBreakBefore w:val="0"/>
        <w:kinsoku/>
        <w:wordWrap/>
        <w:overflowPunct/>
        <w:topLinePunct w:val="0"/>
        <w:bidi w:val="0"/>
        <w:adjustRightInd/>
        <w:snapToGrid/>
        <w:spacing w:line="600" w:lineRule="exact"/>
        <w:ind w:left="0" w:leftChars="0" w:right="0" w:rightChars="0" w:firstLine="640" w:firstLineChars="200"/>
        <w:jc w:val="center"/>
        <w:textAlignment w:val="auto"/>
        <w:outlineLvl w:val="9"/>
        <w:rPr>
          <w:rFonts w:hint="eastAsia" w:ascii="仿宋_GB2312" w:hAnsi="仿宋" w:eastAsia="仿宋_GB2312" w:cs="仿宋"/>
          <w:sz w:val="32"/>
          <w:szCs w:val="32"/>
        </w:rPr>
      </w:pPr>
    </w:p>
    <w:p>
      <w:pPr>
        <w:keepNext w:val="0"/>
        <w:keepLines w:val="0"/>
        <w:pageBreakBefore w:val="0"/>
        <w:kinsoku/>
        <w:wordWrap/>
        <w:overflowPunct/>
        <w:topLinePunct w:val="0"/>
        <w:bidi w:val="0"/>
        <w:adjustRightInd/>
        <w:snapToGrid/>
        <w:spacing w:line="600" w:lineRule="exact"/>
        <w:ind w:left="0" w:leftChars="0" w:right="0" w:rightChars="0" w:firstLine="640" w:firstLineChars="200"/>
        <w:jc w:val="center"/>
        <w:textAlignment w:val="auto"/>
        <w:outlineLvl w:val="9"/>
        <w:rPr>
          <w:rFonts w:hint="eastAsia" w:ascii="仿宋_GB2312" w:hAnsi="仿宋" w:eastAsia="仿宋_GB2312" w:cs="仿宋"/>
          <w:sz w:val="32"/>
          <w:szCs w:val="32"/>
        </w:rPr>
      </w:pPr>
      <w:r>
        <w:rPr>
          <w:rFonts w:hint="eastAsia" w:ascii="仿宋_GB2312" w:hAnsi="仿宋" w:eastAsia="仿宋_GB2312" w:cs="仿宋"/>
          <w:sz w:val="32"/>
          <w:szCs w:val="32"/>
        </w:rPr>
        <w:t>《农资</w:t>
      </w:r>
      <w:r>
        <w:rPr>
          <w:rFonts w:hint="eastAsia" w:ascii="仿宋_GB2312" w:hAnsi="仿宋" w:eastAsia="仿宋_GB2312" w:cs="仿宋"/>
          <w:sz w:val="32"/>
          <w:szCs w:val="32"/>
          <w:lang w:eastAsia="zh-CN"/>
        </w:rPr>
        <w:t>物流标准体系</w:t>
      </w:r>
      <w:r>
        <w:rPr>
          <w:rFonts w:hint="eastAsia" w:ascii="仿宋_GB2312" w:hAnsi="仿宋" w:eastAsia="仿宋_GB2312" w:cs="仿宋"/>
          <w:sz w:val="32"/>
          <w:szCs w:val="32"/>
        </w:rPr>
        <w:t>》编制组</w:t>
      </w:r>
    </w:p>
    <w:p>
      <w:pPr>
        <w:keepNext w:val="0"/>
        <w:keepLines w:val="0"/>
        <w:pageBreakBefore w:val="0"/>
        <w:kinsoku/>
        <w:wordWrap/>
        <w:overflowPunct/>
        <w:topLinePunct w:val="0"/>
        <w:bidi w:val="0"/>
        <w:adjustRightInd/>
        <w:snapToGrid/>
        <w:spacing w:line="600" w:lineRule="exact"/>
        <w:ind w:left="0" w:leftChars="0" w:right="0" w:rightChars="0" w:firstLine="640" w:firstLineChars="200"/>
        <w:jc w:val="center"/>
        <w:textAlignment w:val="auto"/>
        <w:outlineLvl w:val="9"/>
        <w:rPr>
          <w:rFonts w:hint="eastAsia" w:ascii="方正小标宋简体" w:hAnsi="方正小标宋简体" w:eastAsia="方正小标宋简体" w:cs="方正小标宋简体"/>
          <w:b w:val="0"/>
          <w:bCs w:val="0"/>
          <w:sz w:val="32"/>
          <w:szCs w:val="32"/>
        </w:rPr>
      </w:pPr>
      <w:r>
        <w:rPr>
          <w:rFonts w:hint="eastAsia" w:ascii="仿宋_GB2312" w:hAnsi="仿宋" w:eastAsia="仿宋_GB2312" w:cs="仿宋"/>
          <w:sz w:val="32"/>
          <w:szCs w:val="32"/>
        </w:rPr>
        <w:t>二</w:t>
      </w:r>
      <w:r>
        <w:rPr>
          <w:rFonts w:hint="eastAsia" w:ascii="仿宋_GB2312" w:hAnsi="仿宋" w:eastAsia="仿宋_GB2312" w:cs="仿宋"/>
          <w:sz w:val="32"/>
          <w:szCs w:val="32"/>
          <w:lang w:val="en-US" w:eastAsia="zh-CN"/>
        </w:rPr>
        <w:t>0</w:t>
      </w:r>
      <w:r>
        <w:rPr>
          <w:rFonts w:hint="eastAsia" w:ascii="仿宋_GB2312" w:hAnsi="仿宋" w:eastAsia="仿宋_GB2312" w:cs="仿宋"/>
          <w:sz w:val="32"/>
          <w:szCs w:val="32"/>
        </w:rPr>
        <w:t>一七年</w:t>
      </w:r>
      <w:r>
        <w:rPr>
          <w:rFonts w:hint="eastAsia" w:ascii="仿宋_GB2312" w:hAnsi="仿宋" w:eastAsia="仿宋_GB2312" w:cs="仿宋"/>
          <w:sz w:val="32"/>
          <w:szCs w:val="32"/>
          <w:lang w:eastAsia="zh-CN"/>
        </w:rPr>
        <w:t>七</w:t>
      </w:r>
      <w:r>
        <w:rPr>
          <w:rFonts w:hint="eastAsia" w:ascii="仿宋_GB2312" w:hAnsi="仿宋" w:eastAsia="仿宋_GB2312" w:cs="仿宋"/>
          <w:sz w:val="32"/>
          <w:szCs w:val="32"/>
        </w:rPr>
        <w:t>月</w:t>
      </w:r>
    </w:p>
    <w:p>
      <w:pPr>
        <w:keepNext w:val="0"/>
        <w:keepLines w:val="0"/>
        <w:pageBreakBefore w:val="0"/>
        <w:widowControl w:val="0"/>
        <w:kinsoku/>
        <w:wordWrap/>
        <w:overflowPunct/>
        <w:topLinePunct w:val="0"/>
        <w:autoSpaceDE w:val="0"/>
        <w:autoSpaceDN w:val="0"/>
        <w:bidi w:val="0"/>
        <w:adjustRightInd/>
        <w:snapToGrid/>
        <w:spacing w:after="0"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2"/>
          <w:szCs w:val="32"/>
        </w:rPr>
      </w:pPr>
      <w:r>
        <w:rPr>
          <w:rFonts w:hint="eastAsia" w:ascii="方正小标宋简体" w:hAnsi="方正小标宋简体" w:eastAsia="方正小标宋简体" w:cs="方正小标宋简体"/>
          <w:b w:val="0"/>
          <w:bCs w:val="0"/>
          <w:sz w:val="32"/>
          <w:szCs w:val="32"/>
        </w:rPr>
        <w:t>《</w:t>
      </w:r>
      <w:r>
        <w:rPr>
          <w:rFonts w:hint="eastAsia" w:ascii="方正小标宋简体" w:hAnsi="方正小标宋简体" w:eastAsia="方正小标宋简体" w:cs="方正小标宋简体"/>
          <w:b w:val="0"/>
          <w:bCs w:val="0"/>
          <w:sz w:val="32"/>
          <w:szCs w:val="32"/>
          <w:lang w:eastAsia="zh-CN"/>
        </w:rPr>
        <w:t>农资物流标准体系</w:t>
      </w:r>
      <w:r>
        <w:rPr>
          <w:rFonts w:hint="eastAsia" w:ascii="方正小标宋简体" w:hAnsi="方正小标宋简体" w:eastAsia="方正小标宋简体" w:cs="方正小标宋简体"/>
          <w:b w:val="0"/>
          <w:bCs w:val="0"/>
          <w:sz w:val="32"/>
          <w:szCs w:val="32"/>
        </w:rPr>
        <w:t>》（征求意见稿）</w:t>
      </w:r>
    </w:p>
    <w:p>
      <w:pPr>
        <w:keepNext w:val="0"/>
        <w:keepLines w:val="0"/>
        <w:pageBreakBefore w:val="0"/>
        <w:widowControl w:val="0"/>
        <w:kinsoku/>
        <w:wordWrap/>
        <w:overflowPunct/>
        <w:topLinePunct w:val="0"/>
        <w:autoSpaceDE w:val="0"/>
        <w:autoSpaceDN w:val="0"/>
        <w:bidi w:val="0"/>
        <w:adjustRightInd/>
        <w:snapToGrid/>
        <w:spacing w:after="0"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2"/>
          <w:szCs w:val="32"/>
          <w:lang w:eastAsia="zh-CN"/>
        </w:rPr>
      </w:pPr>
      <w:r>
        <w:rPr>
          <w:rFonts w:hint="eastAsia" w:ascii="方正小标宋简体" w:hAnsi="方正小标宋简体" w:eastAsia="方正小标宋简体" w:cs="方正小标宋简体"/>
          <w:b w:val="0"/>
          <w:bCs w:val="0"/>
          <w:sz w:val="32"/>
          <w:szCs w:val="32"/>
          <w:lang w:eastAsia="zh-CN"/>
        </w:rPr>
        <w:t>编制说明</w:t>
      </w:r>
    </w:p>
    <w:p>
      <w:pPr>
        <w:keepNext w:val="0"/>
        <w:keepLines w:val="0"/>
        <w:pageBreakBefore w:val="0"/>
        <w:widowControl w:val="0"/>
        <w:kinsoku/>
        <w:wordWrap/>
        <w:overflowPunct/>
        <w:topLinePunct w:val="0"/>
        <w:autoSpaceDE w:val="0"/>
        <w:autoSpaceDN w:val="0"/>
        <w:bidi w:val="0"/>
        <w:adjustRightInd/>
        <w:snapToGrid/>
        <w:spacing w:after="0"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2"/>
          <w:szCs w:val="32"/>
          <w:lang w:eastAsia="zh-CN"/>
        </w:rPr>
      </w:pPr>
      <w:bookmarkStart w:id="10" w:name="_GoBack"/>
      <w:bookmarkEnd w:id="10"/>
    </w:p>
    <w:p>
      <w:pPr>
        <w:pStyle w:val="2"/>
        <w:pageBreakBefore w:val="0"/>
        <w:widowControl/>
        <w:kinsoku/>
        <w:wordWrap/>
        <w:overflowPunct/>
        <w:topLinePunct w:val="0"/>
        <w:autoSpaceDE/>
        <w:autoSpaceDN/>
        <w:bidi w:val="0"/>
        <w:adjustRightInd/>
        <w:snapToGrid/>
        <w:spacing w:before="0" w:after="0" w:line="360" w:lineRule="auto"/>
        <w:ind w:left="0" w:leftChars="0" w:right="0" w:rightChars="0"/>
        <w:jc w:val="both"/>
        <w:textAlignment w:val="auto"/>
        <w:rPr>
          <w:rFonts w:hint="eastAsia" w:ascii="宋体" w:hAnsi="宋体" w:eastAsia="宋体" w:cs="宋体"/>
          <w:color w:val="000000"/>
          <w:sz w:val="24"/>
          <w:szCs w:val="24"/>
        </w:rPr>
      </w:pPr>
      <w:bookmarkStart w:id="0" w:name="_Toc490464732"/>
      <w:bookmarkStart w:id="1" w:name="_Toc488664569"/>
      <w:r>
        <w:rPr>
          <w:rFonts w:hint="eastAsia" w:ascii="宋体" w:hAnsi="宋体" w:eastAsia="宋体" w:cs="宋体"/>
          <w:color w:val="000000"/>
          <w:sz w:val="24"/>
          <w:szCs w:val="24"/>
        </w:rPr>
        <w:t>一、任务来源及计划要求</w:t>
      </w:r>
      <w:bookmarkEnd w:id="0"/>
      <w:bookmarkEnd w:id="1"/>
    </w:p>
    <w:p>
      <w:pPr>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w:t>
      </w:r>
      <w:r>
        <w:rPr>
          <w:rStyle w:val="8"/>
          <w:rFonts w:hint="eastAsia" w:ascii="宋体" w:hAnsi="宋体" w:eastAsia="宋体" w:cs="宋体"/>
          <w:b w:val="0"/>
          <w:kern w:val="0"/>
          <w:sz w:val="24"/>
          <w:szCs w:val="24"/>
        </w:rPr>
        <w:t>农资行业物流标准体系</w:t>
      </w:r>
      <w:r>
        <w:rPr>
          <w:rFonts w:hint="eastAsia" w:ascii="宋体" w:hAnsi="宋体" w:eastAsia="宋体" w:cs="宋体"/>
          <w:sz w:val="24"/>
          <w:szCs w:val="24"/>
        </w:rPr>
        <w:t>》是</w:t>
      </w:r>
      <w:bookmarkStart w:id="2" w:name="OLE_LINK2"/>
      <w:r>
        <w:rPr>
          <w:rFonts w:hint="eastAsia" w:ascii="宋体" w:hAnsi="宋体" w:eastAsia="宋体" w:cs="宋体"/>
          <w:sz w:val="24"/>
          <w:szCs w:val="24"/>
        </w:rPr>
        <w:t>“十二五”农村领域国家科技计划课题研究任务——农资物流安全配送关键技术与装备研究示范（2015BAD18B01）</w:t>
      </w:r>
      <w:bookmarkEnd w:id="2"/>
      <w:r>
        <w:rPr>
          <w:rFonts w:hint="eastAsia" w:ascii="宋体" w:hAnsi="宋体" w:eastAsia="宋体" w:cs="宋体"/>
          <w:sz w:val="24"/>
          <w:szCs w:val="24"/>
        </w:rPr>
        <w:t>。本标准由中华全国供销合作总社科技部、农资局、北京工商大学提出并归口，由北京工商大学项目组负责研究起草。本标准是新制定的推荐性行业标准。</w:t>
      </w:r>
    </w:p>
    <w:p>
      <w:pPr>
        <w:pStyle w:val="2"/>
        <w:pageBreakBefore w:val="0"/>
        <w:widowControl/>
        <w:kinsoku/>
        <w:wordWrap/>
        <w:overflowPunct/>
        <w:topLinePunct w:val="0"/>
        <w:autoSpaceDE/>
        <w:autoSpaceDN/>
        <w:bidi w:val="0"/>
        <w:adjustRightInd/>
        <w:snapToGrid/>
        <w:spacing w:before="0" w:after="0" w:line="360" w:lineRule="auto"/>
        <w:ind w:left="0" w:leftChars="0" w:right="0" w:rightChars="0"/>
        <w:jc w:val="both"/>
        <w:textAlignment w:val="auto"/>
        <w:rPr>
          <w:rFonts w:hint="eastAsia" w:ascii="宋体" w:hAnsi="宋体" w:eastAsia="宋体" w:cs="宋体"/>
          <w:color w:val="000000"/>
          <w:sz w:val="24"/>
          <w:szCs w:val="24"/>
        </w:rPr>
      </w:pPr>
      <w:bookmarkStart w:id="3" w:name="_Toc490464733"/>
      <w:bookmarkStart w:id="4" w:name="_Toc488664570"/>
      <w:r>
        <w:rPr>
          <w:rFonts w:hint="eastAsia" w:ascii="宋体" w:hAnsi="宋体" w:eastAsia="宋体" w:cs="宋体"/>
          <w:color w:val="000000"/>
          <w:sz w:val="24"/>
          <w:szCs w:val="24"/>
        </w:rPr>
        <w:t>二、标准制定的目的和意义</w:t>
      </w:r>
      <w:bookmarkEnd w:id="3"/>
      <w:bookmarkEnd w:id="4"/>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农业生产资料主要包括化肥、农药、种子、农用塑料制品、农机和配件等。</w:t>
      </w:r>
      <w:r>
        <w:rPr>
          <w:rFonts w:hint="eastAsia" w:ascii="宋体" w:hAnsi="宋体" w:eastAsia="宋体" w:cs="宋体"/>
          <w:sz w:val="24"/>
          <w:szCs w:val="24"/>
        </w:rPr>
        <w:t>农村农资物流业是融合运输业、仓储业、信息业等的复合型服务产业，是农村和农业经济发展的重要组成部分。农村农资涉及到农业生产和农村9亿农民的生活问题。近年来，农资行业物流管理不够规范，缺乏统一的执行标准，给农资生产企业、销售企业带来了很大的不确定性风险，影响了农村农资的正常流通。</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目前，全国供销社系统现有农资企业3952家，其中1515家企业开展连锁经营，参与农业产业化经营的农资龙头批发市场209个，农资配送中心3562个，连锁经营网点21万个，供销社全系统的化肥销售量占全社会用肥量的70%，并承担70%以上的国家储备任务。据《中国农村统计年鉴》，2015年，我国农作物总播种面积166343.99千公顷，农村化肥施用量为6022.6万吨，农用塑料薄膜使用量为260.4万吨，农用柴油使用量为2197.7万吨，农药使用量178.3万吨。</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国近几年不断发生农资物流重特大事故，比如化肥、剧毒农药运输车辆在农村发生事故导致化肥、农药泄露污染农村水源，严重威胁农民的健康和生命安全。要解决这些问题，必须充分发挥科技手段的作用，建立农药、化肥物流的跟踪和追溯系统和集中库存系统，建立统一采购、统一配送的重要农资配送系统，同时完善农资行业物流规范体系。</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随着行业竞争的不断加剧，农资生产企业、销售企业的服务内容越来越丰富化、服务模式多样化，因此需要制定农资行业物流标准来适应现代物流行业发展需要，来共同推动农资行业物流规范化建设和发展。</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农资行业物流标准体系是农资行业标准体系的重要组成部分，是农资行业物流系统建设的主要依据。农资行业物流标准体系是适应现代物流的发展和建设需要，保证农资行业物流建设健康发展而制定的。它宏观地反映了物流标准体系的构成和研制现状，为农资行业物流标准规划奠定了基础，为等同或等效采用国际和国外先进标准，推动农资行业物流标准化建设，起到重要的指导作用。</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因此，建立农资行业物流标准体系，对农资企业的标准加以规范，降低企业管理和运营成本，提升农资行业管理水平，具有十分重要的意义。</w:t>
      </w:r>
    </w:p>
    <w:p>
      <w:pPr>
        <w:pStyle w:val="2"/>
        <w:pageBreakBefore w:val="0"/>
        <w:widowControl/>
        <w:kinsoku/>
        <w:wordWrap/>
        <w:overflowPunct/>
        <w:topLinePunct w:val="0"/>
        <w:autoSpaceDE/>
        <w:autoSpaceDN/>
        <w:bidi w:val="0"/>
        <w:adjustRightInd/>
        <w:snapToGrid/>
        <w:spacing w:before="0" w:after="0" w:line="360" w:lineRule="auto"/>
        <w:ind w:left="0" w:leftChars="0" w:right="0" w:rightChars="0"/>
        <w:jc w:val="both"/>
        <w:textAlignment w:val="auto"/>
        <w:rPr>
          <w:rFonts w:hint="eastAsia" w:ascii="宋体" w:hAnsi="宋体" w:eastAsia="宋体" w:cs="宋体"/>
          <w:sz w:val="24"/>
          <w:szCs w:val="24"/>
        </w:rPr>
      </w:pPr>
      <w:bookmarkStart w:id="5" w:name="_Toc490464734"/>
      <w:r>
        <w:rPr>
          <w:rFonts w:hint="eastAsia" w:ascii="宋体" w:hAnsi="宋体" w:eastAsia="宋体" w:cs="宋体"/>
          <w:sz w:val="24"/>
          <w:szCs w:val="24"/>
        </w:rPr>
        <w:t>三、本标准编制的原则</w:t>
      </w:r>
      <w:bookmarkEnd w:id="5"/>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本标准按照GB/T 1.1-2009给出的规则起草。</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标准的编制体现了以下几个原则：</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1．基于我国农资物流行业现状而起草，并具有前瞻性</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标准将立足于我国农业生产资料物流行业具体的发展现状，通过深入调研和分析我国农资物流行业所处的发展阶段、发展情况及发展动向。在满足当前农资物流行业发展现状的要求上，着眼我国农资物流行业未来可能的发展趋势，使本标准具有一定的前瞻性。</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 充分借鉴国外已有的相关标准</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标准将对国外已有的相关农资物流行业标准进行学习和借鉴，同时针对对国外已有的相关标准，将在标准编写组内进行充分的讨论，在坚持本标准基于我国农资物流行业现状这一原则的基础上，进行筛选、学习和吸收，并将可以借鉴及转化的国外成果，体现在本标准当中。</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3.保证起草标准的全面性及规范性</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标准所提出和引用的术语、定义及相关内容将全面涵盖我国农资物流行业中的各个方面，满足我国农业生产资料在制造、加工、仓储、流通及销售等各个领域的的需求。在保证起草标准全面性的同时，还将保证起草标准的规范性。规范性主要包含两方面含义，一是规范农资物流行业中各个业务活动，并通过规范性的业务活动，方便对该行业进行管理；二是本标准的编制要保证自身的规范性，保证起草的相关内容满足相关文件的要求。</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4.保证起草标准的系统性</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标准所提出和引用的术语、定义及相关内容在保证全面和规范的同时，将兼顾系统性的原则，即按照农资物流行业的运作流程，作为该标准的起草和编写的流程，在标准包含各个环节的同时，使各标准之间存在前后关系以及相互关联。</w:t>
      </w:r>
    </w:p>
    <w:p>
      <w:pPr>
        <w:pStyle w:val="2"/>
        <w:pageBreakBefore w:val="0"/>
        <w:widowControl/>
        <w:kinsoku/>
        <w:wordWrap/>
        <w:overflowPunct/>
        <w:topLinePunct w:val="0"/>
        <w:autoSpaceDE/>
        <w:autoSpaceDN/>
        <w:bidi w:val="0"/>
        <w:adjustRightInd/>
        <w:snapToGrid/>
        <w:spacing w:before="0" w:after="0" w:line="360" w:lineRule="auto"/>
        <w:ind w:left="0" w:leftChars="0" w:right="0" w:rightChars="0"/>
        <w:jc w:val="both"/>
        <w:textAlignment w:val="auto"/>
        <w:rPr>
          <w:rFonts w:hint="eastAsia" w:ascii="宋体" w:hAnsi="宋体" w:eastAsia="宋体" w:cs="宋体"/>
          <w:sz w:val="24"/>
          <w:szCs w:val="24"/>
        </w:rPr>
      </w:pPr>
      <w:bookmarkStart w:id="6" w:name="_Toc490464735"/>
      <w:r>
        <w:rPr>
          <w:rFonts w:hint="eastAsia" w:ascii="宋体" w:hAnsi="宋体" w:eastAsia="宋体" w:cs="宋体"/>
          <w:sz w:val="24"/>
          <w:szCs w:val="24"/>
        </w:rPr>
        <w:t>四、确定本标准主要内容的依据</w:t>
      </w:r>
      <w:bookmarkEnd w:id="6"/>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1、国家相关法律规范和政策规定的相关要求</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本标准立足于我国农资发展、农资行业以及农资行业物流管理相关的法律法规和政策规定的要求，在学习并遵守这些要求的基础上，将这些要求作为编制《农资行业物流标准体系》的基本依据。</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依据的基本法律法规：《中华人民共和国标准化法》、《中华人民共和国农业法》、《中华人民共和国种子法》、《国家标准管理办法》、《中华人民共和国合同法》、《中华人民共和国道路交通安全法》、《中华人民共和国安全生产法》等。</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依据的有关政策规定：《国家标准管理办法》国家技术监督局令第10号、《行业标准化管理办法》国家技术监督局令第11号、《企业标准化管理办法》国家技术监督局令第13号、《农场物流服务体系发展专项资金管理办法》财建［2009］228号、《商品条码管理办法》国家质量监督检验检疫总局令第76号、《农作物种子生产经营许可管理办法》过农业部［2016］5号等。</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2、有关国家、行业或其他标准依据</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规范性引用标准：</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《标准体系表编制原则和要求》（GB/T 13016）、《企业标准体系表编制指南》（GB/T 13017）、《企业标准体系 技术标准体系的构成和要求》（GB/T 15497）、《物流术语》（GB/T 18354）、《数码仓库应用系统规范》（GB/T 18768）、《大宗商品电子交易规范》（GB/T 18769）。</w:t>
      </w:r>
    </w:p>
    <w:p>
      <w:pPr>
        <w:pageBreakBefore w:val="0"/>
        <w:widowControl/>
        <w:kinsoku/>
        <w:wordWrap/>
        <w:overflowPunct/>
        <w:topLinePunct w:val="0"/>
        <w:autoSpaceDE/>
        <w:autoSpaceDN/>
        <w:bidi w:val="0"/>
        <w:adjustRightInd/>
        <w:snapToGrid/>
        <w:spacing w:line="360" w:lineRule="auto"/>
        <w:ind w:left="0" w:leftChars="0" w:right="0" w:rightChars="0"/>
        <w:jc w:val="both"/>
        <w:textAlignment w:val="auto"/>
        <w:rPr>
          <w:rFonts w:hint="eastAsia" w:ascii="宋体" w:hAnsi="宋体" w:eastAsia="宋体" w:cs="宋体"/>
          <w:sz w:val="24"/>
          <w:szCs w:val="24"/>
        </w:rPr>
      </w:pPr>
      <w:r>
        <w:rPr>
          <w:rFonts w:hint="eastAsia" w:ascii="宋体" w:hAnsi="宋体" w:eastAsia="宋体" w:cs="宋体"/>
          <w:sz w:val="24"/>
          <w:szCs w:val="24"/>
        </w:rPr>
        <w:t>主要参考标准：</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《烟草行业物流标准体系》（YC/Z 260-2008）、《烟草行业物流单证》（YC/Z 262-2008）、《农资商品电子代码编码规则》（GH/T 1086-2013）、《信息技术 数据元的规范与标准化 第1部分：数据元的规范与标准话框架》（GB/T 18391.1-2009）、《生产资料流通术语》（SB/T 10722-2012）、《肥料标识 内容和要求》（GB 18382-2001）等，上述标准为农资行业物流标准体系涉及到的具体内容比如农资物流、农资行业物流标识、肥料表示、农用种子的存储及运输等方面提供参考依据，使本标准内容更具丰富性和完整性。</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3、实践调研依据</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标准编制组对安徽辉隆农资集团股份有限公司、中农立华生物科技股份有限公司、浙江惠多利农资有限公司、安徽道尔化肥有限公司、江苏苏农农资连锁集团股份有限公司、四川邦力达农资连锁有限公司、河北省农业生产资料有限公司、西藏农牧业生产资料集团等多地区的农资企业及农资企业产品流通、仓储等物流过程进行实地调研，对农资行业物流所包含的业务流程、服务范围、涵盖要素等方面进行了思考和总结，同时对农业物流行业标准所应包含的内容进行了深入的探讨，总结和归纳出了构成农资物流行业标准体系的各个环节和方面，对农资行业物流标准体系的起草和撰写提供了重要依据和实践、应用基础。</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4、实际需求依据</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标准是由供销合作社联合北京工商大学、中国农业生产资料流通协会以及多家农资企业共同制定，农资行业物流标准体系是农资行业标准体系的重要组成部分之一，是农资行业物流系统建设的主要技术依据。农资行业物流标准体系是为适应现代物流的发展和建设需要，保证农资行业物流建设健康发展而制定的。它宏观地反映了物流标准体系的构成和研制现状，为编制农资行业物流标准规划奠定了基础，为等同或等效采用国际和国外先进标准，推动农资行业物流标准化建设，起到重要的指导作用。</w:t>
      </w:r>
    </w:p>
    <w:p>
      <w:pPr>
        <w:pStyle w:val="2"/>
        <w:pageBreakBefore w:val="0"/>
        <w:widowControl/>
        <w:kinsoku/>
        <w:wordWrap/>
        <w:overflowPunct/>
        <w:topLinePunct w:val="0"/>
        <w:autoSpaceDE/>
        <w:autoSpaceDN/>
        <w:bidi w:val="0"/>
        <w:adjustRightInd/>
        <w:snapToGrid/>
        <w:spacing w:before="0" w:after="0" w:line="360" w:lineRule="auto"/>
        <w:ind w:left="0" w:leftChars="0" w:right="0" w:rightChars="0"/>
        <w:jc w:val="both"/>
        <w:textAlignment w:val="auto"/>
        <w:rPr>
          <w:rFonts w:hint="eastAsia" w:ascii="宋体" w:hAnsi="宋体" w:eastAsia="宋体" w:cs="宋体"/>
          <w:sz w:val="24"/>
          <w:szCs w:val="24"/>
        </w:rPr>
      </w:pPr>
      <w:bookmarkStart w:id="7" w:name="_Toc490464736"/>
      <w:r>
        <w:rPr>
          <w:rFonts w:hint="eastAsia" w:ascii="宋体" w:hAnsi="宋体" w:eastAsia="宋体" w:cs="宋体"/>
          <w:sz w:val="24"/>
          <w:szCs w:val="24"/>
        </w:rPr>
        <w:t>五、标准的编制、起草过程</w:t>
      </w:r>
      <w:bookmarkEnd w:id="7"/>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1、立项筹备阶段</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根据项目要求，标准起草组制定了工作计划，主要工作过程及进度严格按照计划进行。2016年1月－2016年4月，标准起草组首先内部进行反复讨论，并先后多次到农资局、供销总社科教部标准处进行论证，最终确定标准名称以及标准立项。</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2、编写准备阶段</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2016年5月24日在北京工商大学召开农资行业有关标准研究专家研讨会，邀请中华供销总社、中国农业机械化科学研究院以及企业、其他高校专家等，分析国内、国际标准编制规范，并结合项目本身的要求展开研讨，对标准的编制工作提供指导。之后，起草组进行了大量的调研、考察，先后到安徽辉隆农资集团股份有限公司、中农立华生物科技股份有限公司、浙江惠多利农资有限公司、安徽道尔化肥有限公司、江苏苏农农资连锁集团股份有限公司、四川邦力达农资连锁有限公司、河北省农业生产资料有限公司、西藏农牧业生产资料集团等地详细调研，对以上地区农资企业实践经验进行总结，为标准初稿的起草提供了坚实的基础。</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3、标准修改阶段</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在标准初稿形成之后，与调研地点的各家农资公司进行征求意见，根据所提意见多次修改，成稿后，到安徽、天津等地进行验证性调研，实地征求意见，进一步修改成稿后，于2016年9月组织内部研讨会，对标准框架及具体内容进行了务实的探讨，在以上工作的基础上，标准起草组又经过多次的内部研讨、修改，确定了征求意见稿。于2016年10月、2017年1月，先后两次将意见稿向行业、企业征求意见，项目组对反馈意见进行了汇总、分析，对于回函单上所提出的合理建议，采纳了相应意见，增加并完善了相应内容。</w:t>
      </w:r>
    </w:p>
    <w:p>
      <w:pPr>
        <w:pStyle w:val="2"/>
        <w:pageBreakBefore w:val="0"/>
        <w:widowControl/>
        <w:kinsoku/>
        <w:wordWrap/>
        <w:overflowPunct/>
        <w:topLinePunct w:val="0"/>
        <w:autoSpaceDE/>
        <w:autoSpaceDN/>
        <w:bidi w:val="0"/>
        <w:adjustRightInd/>
        <w:snapToGrid/>
        <w:spacing w:before="0" w:after="0" w:line="360" w:lineRule="auto"/>
        <w:ind w:left="0" w:leftChars="0" w:right="0" w:rightChars="0"/>
        <w:jc w:val="both"/>
        <w:textAlignment w:val="auto"/>
        <w:rPr>
          <w:rFonts w:hint="eastAsia" w:ascii="宋体" w:hAnsi="宋体" w:eastAsia="宋体" w:cs="宋体"/>
          <w:sz w:val="24"/>
          <w:szCs w:val="24"/>
        </w:rPr>
      </w:pPr>
      <w:bookmarkStart w:id="8" w:name="_Toc490464737"/>
      <w:r>
        <w:rPr>
          <w:rFonts w:hint="eastAsia" w:ascii="宋体" w:hAnsi="宋体" w:eastAsia="宋体" w:cs="宋体"/>
          <w:sz w:val="24"/>
          <w:szCs w:val="24"/>
        </w:rPr>
        <w:t>六、标准的主要内容</w:t>
      </w:r>
      <w:bookmarkEnd w:id="8"/>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本标准分为5个组成部分，主要内容如下：</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1、范围</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介绍了本标准的主要内容以及本标准所适用的领域。</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2、规范性引用文件</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本标准主要参考和引用的标准是GB/T 13016 标准体系表编制原则和要求、GB/T 13017 企业标准体系表编制指南、GB/T 15497 企业标准体系 技术标准体系的构成和要求、GB/T 18354 物流术语、GB/T 18768 数码仓库应用系统规范、GB/T 18769 大宗商品电子交易规范、GH/T1086-2013农资商品电子代码编码规则、GH/T1079-2012农业生产资料连锁经营 网络配送中心建设与管理规范、GH/T1061-2010农业生产资料连锁经营网络规范等及国家现行有效的与本标准相关的国家或行业标准。</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3、术语和定义</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GB/T 13016、GB/T 18354、GB/T 18768、GB/T 18769、GH/T1086-2013、GH/T1079-2012、GH/T1061-2010中确立的有关物流方面的术语和定义适应于本指导性技术文件。</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4、农资行业物流标准体系主要内容</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农资行业物流标准体系以技术标准为主体，包括物流通用基础标准，物流技术标准，物流信息标准，物流管理标准，物流服务标准。农资行业物流标准体系不仅涵概已经发布的标准，而且还包括计划制定和正在制定的标准，同时也包括其他行业已经发布的相关技术标准。</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5、农资行业物流标准体系的结构</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农资行业物流标准体系的结构介绍了农资行业物流标准体系的组成、农资行业物流标准体系的结构形式、农资行业物流标准统计3部分内容。其中农资行业物流标准体系的结构形式采用层次结构，共分五层，分别为法律、法规，标准大类，标准中类、标准小类、个性标准，层与层之间是包含与被包含关系。</w:t>
      </w:r>
    </w:p>
    <w:p>
      <w:pPr>
        <w:pStyle w:val="2"/>
        <w:pageBreakBefore w:val="0"/>
        <w:widowControl/>
        <w:kinsoku/>
        <w:wordWrap/>
        <w:overflowPunct/>
        <w:topLinePunct w:val="0"/>
        <w:autoSpaceDE/>
        <w:autoSpaceDN/>
        <w:bidi w:val="0"/>
        <w:adjustRightInd/>
        <w:snapToGrid/>
        <w:spacing w:before="0" w:after="0" w:line="360" w:lineRule="auto"/>
        <w:ind w:left="0" w:leftChars="0" w:right="0" w:rightChars="0"/>
        <w:jc w:val="both"/>
        <w:textAlignment w:val="auto"/>
        <w:rPr>
          <w:rFonts w:hint="eastAsia" w:ascii="宋体" w:hAnsi="宋体" w:eastAsia="宋体" w:cs="宋体"/>
          <w:sz w:val="24"/>
          <w:szCs w:val="24"/>
        </w:rPr>
      </w:pPr>
      <w:bookmarkStart w:id="9" w:name="_Toc490464738"/>
      <w:r>
        <w:rPr>
          <w:rFonts w:hint="eastAsia" w:ascii="宋体" w:hAnsi="宋体" w:eastAsia="宋体" w:cs="宋体"/>
          <w:sz w:val="24"/>
          <w:szCs w:val="24"/>
        </w:rPr>
        <w:t>七、征求意见稿修改的重要内容说明</w:t>
      </w:r>
      <w:bookmarkEnd w:id="9"/>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（一）征求意见稿修改的重要内容说明</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1、3.12物流设施与3.14物流设施内容相同。</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根据此项建议，将“3.14物流设施”修改为“3.14物流设备”；将其条目下的内容“具备物流相关功能和提供物流服务的场所。[GB/T 18354-2006，定义2.10]”修改为“保证物流系统开工条件的设备。”</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2、其他标准定义是否可以与本标准定义一致。</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根据此项建议，将3.1农业生产资料的定义修改为农业生产所需投入的物质资料，以下简称为农资。注:农资通常包括肥料(化肥、有机肥)、农药、农膜、种子、饲料、兽药、农机具及配件等大类，引用 自GHT1061-2010 农业生产资料连锁经营网络规范。</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3、农资商品电子代码编码规则GH/T1086-2013；农业生产资料连锁经营 网络配送中心建设与管理规范GH/T1079-2012；农业生产资料连锁经营网络规范GH/T1061-2010。</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根据此项建议，有如下修改：</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（1）在5.3农资行业物流标准统计的表1各类标准统计中，“农资行业物流标准”列下的“现有标准栏”和“行业标准”栏中的“2”修改为“5”。</w:t>
      </w: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（2）附录C的表C.1中添加“C.1.1.1.7 农业生产资料连锁经营 网络配送中心建设与管理规范 GH/T1079-2012 现行”和“C.1.1.1.8农业生产资料连锁经营网络规范</w:t>
      </w:r>
      <w:r>
        <w:rPr>
          <w:rFonts w:hint="eastAsia" w:ascii="宋体" w:hAnsi="宋体" w:eastAsia="宋体" w:cs="宋体"/>
          <w:sz w:val="24"/>
          <w:szCs w:val="24"/>
        </w:rPr>
        <w:tab/>
      </w:r>
      <w:r>
        <w:rPr>
          <w:rFonts w:hint="eastAsia" w:ascii="宋体" w:hAnsi="宋体" w:eastAsia="宋体" w:cs="宋体"/>
          <w:sz w:val="24"/>
          <w:szCs w:val="24"/>
        </w:rPr>
        <w:t>GH/T1061-2010</w:t>
      </w:r>
      <w:r>
        <w:rPr>
          <w:rFonts w:hint="eastAsia" w:ascii="宋体" w:hAnsi="宋体" w:eastAsia="宋体" w:cs="宋体"/>
          <w:sz w:val="24"/>
          <w:szCs w:val="24"/>
        </w:rPr>
        <w:tab/>
      </w:r>
      <w:r>
        <w:rPr>
          <w:rFonts w:hint="eastAsia" w:ascii="宋体" w:hAnsi="宋体" w:eastAsia="宋体" w:cs="宋体"/>
          <w:sz w:val="24"/>
          <w:szCs w:val="24"/>
        </w:rPr>
        <w:t>现行”。</w:t>
      </w:r>
    </w:p>
    <w:p>
      <w:pPr>
        <w:pageBreakBefore w:val="0"/>
        <w:widowControl/>
        <w:kinsoku/>
        <w:wordWrap/>
        <w:overflowPunct/>
        <w:topLinePunct w:val="0"/>
        <w:autoSpaceDE/>
        <w:autoSpaceDN/>
        <w:bidi w:val="0"/>
        <w:adjustRightInd/>
        <w:snapToGrid/>
        <w:spacing w:line="360" w:lineRule="auto"/>
        <w:ind w:left="0" w:leftChars="0" w:right="0" w:rightChars="0"/>
        <w:jc w:val="both"/>
        <w:textAlignment w:val="auto"/>
        <w:rPr>
          <w:rFonts w:hint="eastAsia" w:ascii="宋体" w:hAnsi="宋体" w:eastAsia="宋体" w:cs="宋体"/>
          <w:sz w:val="24"/>
          <w:szCs w:val="24"/>
        </w:rPr>
      </w:pPr>
      <w:r>
        <w:rPr>
          <w:rFonts w:hint="eastAsia" w:ascii="宋体" w:hAnsi="宋体" w:eastAsia="宋体" w:cs="宋体"/>
          <w:sz w:val="24"/>
          <w:szCs w:val="24"/>
        </w:rPr>
        <w:t>（3）附录D的表D.1中添加“D.1.1.1.12</w:t>
      </w:r>
      <w:r>
        <w:rPr>
          <w:rFonts w:hint="eastAsia" w:ascii="宋体" w:hAnsi="宋体" w:eastAsia="宋体" w:cs="宋体"/>
          <w:sz w:val="24"/>
          <w:szCs w:val="24"/>
        </w:rPr>
        <w:tab/>
      </w:r>
      <w:r>
        <w:rPr>
          <w:rFonts w:hint="eastAsia" w:ascii="宋体" w:hAnsi="宋体" w:eastAsia="宋体" w:cs="宋体"/>
          <w:sz w:val="24"/>
          <w:szCs w:val="24"/>
        </w:rPr>
        <w:t>农资商品电子代码编码规则</w:t>
      </w:r>
      <w:r>
        <w:rPr>
          <w:rFonts w:hint="eastAsia" w:ascii="宋体" w:hAnsi="宋体" w:eastAsia="宋体" w:cs="宋体"/>
          <w:sz w:val="24"/>
          <w:szCs w:val="24"/>
        </w:rPr>
        <w:tab/>
      </w:r>
      <w:r>
        <w:rPr>
          <w:rFonts w:hint="eastAsia" w:ascii="宋体" w:hAnsi="宋体" w:eastAsia="宋体" w:cs="宋体"/>
          <w:sz w:val="24"/>
          <w:szCs w:val="24"/>
        </w:rPr>
        <w:t>GH/T1086-2013</w:t>
      </w:r>
      <w:r>
        <w:rPr>
          <w:rFonts w:hint="eastAsia" w:ascii="宋体" w:hAnsi="宋体" w:eastAsia="宋体" w:cs="宋体"/>
          <w:sz w:val="24"/>
          <w:szCs w:val="24"/>
        </w:rPr>
        <w:tab/>
      </w:r>
      <w:r>
        <w:rPr>
          <w:rFonts w:hint="eastAsia" w:ascii="宋体" w:hAnsi="宋体" w:eastAsia="宋体" w:cs="宋体"/>
          <w:sz w:val="24"/>
          <w:szCs w:val="24"/>
        </w:rPr>
        <w:t>现行”。</w:t>
      </w:r>
    </w:p>
    <w:p>
      <w:pPr>
        <w:pageBreakBefore w:val="0"/>
        <w:widowControl/>
        <w:kinsoku/>
        <w:wordWrap/>
        <w:overflowPunct/>
        <w:topLinePunct w:val="0"/>
        <w:autoSpaceDE/>
        <w:autoSpaceDN/>
        <w:bidi w:val="0"/>
        <w:adjustRightInd/>
        <w:snapToGrid/>
        <w:spacing w:line="360" w:lineRule="auto"/>
        <w:ind w:left="0" w:leftChars="0" w:right="0" w:rightChars="0" w:firstLine="720" w:firstLineChars="300"/>
        <w:jc w:val="both"/>
        <w:textAlignment w:val="auto"/>
        <w:rPr>
          <w:rFonts w:hint="eastAsia" w:ascii="宋体" w:hAnsi="宋体" w:eastAsia="宋体" w:cs="宋体"/>
          <w:sz w:val="24"/>
          <w:szCs w:val="24"/>
        </w:rPr>
      </w:pPr>
    </w:p>
    <w:p>
      <w:pPr>
        <w:pageBreakBefore w:val="0"/>
        <w:widowControl/>
        <w:kinsoku/>
        <w:wordWrap/>
        <w:overflowPunct/>
        <w:topLinePunct w:val="0"/>
        <w:autoSpaceDE/>
        <w:autoSpaceDN/>
        <w:bidi w:val="0"/>
        <w:adjustRightInd/>
        <w:snapToGrid/>
        <w:spacing w:line="360" w:lineRule="auto"/>
        <w:ind w:left="0" w:leftChars="0" w:right="0" w:rightChars="0" w:firstLine="5040" w:firstLineChars="2100"/>
        <w:jc w:val="both"/>
        <w:textAlignment w:val="auto"/>
        <w:rPr>
          <w:rFonts w:hint="eastAsia" w:ascii="宋体" w:hAnsi="宋体" w:eastAsia="宋体" w:cs="宋体"/>
          <w:sz w:val="24"/>
          <w:szCs w:val="24"/>
        </w:rPr>
      </w:pPr>
      <w:r>
        <w:rPr>
          <w:rFonts w:hint="eastAsia" w:ascii="宋体" w:hAnsi="宋体" w:eastAsia="宋体" w:cs="宋体"/>
          <w:sz w:val="24"/>
          <w:szCs w:val="24"/>
        </w:rPr>
        <w:t>《农资</w:t>
      </w:r>
      <w:r>
        <w:rPr>
          <w:rFonts w:hint="eastAsia" w:ascii="宋体" w:hAnsi="宋体" w:eastAsia="宋体" w:cs="宋体"/>
          <w:sz w:val="24"/>
          <w:szCs w:val="24"/>
          <w:lang w:eastAsia="zh-CN"/>
        </w:rPr>
        <w:t>物流标准体系</w:t>
      </w:r>
      <w:r>
        <w:rPr>
          <w:rFonts w:hint="eastAsia" w:ascii="宋体" w:hAnsi="宋体" w:eastAsia="宋体" w:cs="宋体"/>
          <w:sz w:val="24"/>
          <w:szCs w:val="24"/>
        </w:rPr>
        <w:t>》编制组</w:t>
      </w:r>
    </w:p>
    <w:p>
      <w:pPr>
        <w:pageBreakBefore w:val="0"/>
        <w:widowControl/>
        <w:kinsoku/>
        <w:wordWrap/>
        <w:overflowPunct/>
        <w:topLinePunct w:val="0"/>
        <w:autoSpaceDE/>
        <w:autoSpaceDN/>
        <w:bidi w:val="0"/>
        <w:adjustRightInd/>
        <w:snapToGrid/>
        <w:spacing w:line="360" w:lineRule="auto"/>
        <w:ind w:left="0" w:leftChars="0" w:right="0" w:rightChars="0" w:firstLine="6000" w:firstLineChars="2500"/>
        <w:jc w:val="both"/>
        <w:textAlignment w:val="auto"/>
        <w:rPr>
          <w:rFonts w:hint="eastAsia" w:ascii="宋体" w:hAnsi="宋体" w:eastAsia="宋体" w:cs="宋体"/>
          <w:sz w:val="24"/>
          <w:szCs w:val="24"/>
        </w:rPr>
      </w:pPr>
      <w:r>
        <w:rPr>
          <w:rFonts w:hint="eastAsia" w:ascii="宋体" w:hAnsi="宋体" w:eastAsia="宋体" w:cs="宋体"/>
          <w:sz w:val="24"/>
          <w:szCs w:val="24"/>
        </w:rPr>
        <w:t>二</w:t>
      </w:r>
      <w:r>
        <w:rPr>
          <w:rFonts w:hint="eastAsia" w:ascii="宋体" w:hAnsi="宋体" w:eastAsia="宋体" w:cs="宋体"/>
          <w:sz w:val="24"/>
          <w:szCs w:val="24"/>
          <w:lang w:val="en-US" w:eastAsia="zh-CN"/>
        </w:rPr>
        <w:t>0</w:t>
      </w:r>
      <w:r>
        <w:rPr>
          <w:rFonts w:hint="eastAsia" w:ascii="宋体" w:hAnsi="宋体" w:eastAsia="宋体" w:cs="宋体"/>
          <w:sz w:val="24"/>
          <w:szCs w:val="24"/>
        </w:rPr>
        <w:t>一七年</w:t>
      </w:r>
      <w:r>
        <w:rPr>
          <w:rFonts w:hint="eastAsia" w:ascii="宋体" w:hAnsi="宋体" w:eastAsia="宋体" w:cs="宋体"/>
          <w:sz w:val="24"/>
          <w:szCs w:val="24"/>
          <w:lang w:eastAsia="zh-CN"/>
        </w:rPr>
        <w:t>七</w:t>
      </w:r>
      <w:r>
        <w:rPr>
          <w:rFonts w:hint="eastAsia" w:ascii="宋体" w:hAnsi="宋体" w:eastAsia="宋体" w:cs="宋体"/>
          <w:sz w:val="24"/>
          <w:szCs w:val="24"/>
        </w:rPr>
        <w:t>月</w:t>
      </w:r>
    </w:p>
    <w:p>
      <w:pPr>
        <w:pageBreakBefore w:val="0"/>
        <w:widowControl/>
        <w:kinsoku/>
        <w:wordWrap/>
        <w:overflowPunct/>
        <w:topLinePunct w:val="0"/>
        <w:autoSpaceDE/>
        <w:autoSpaceDN/>
        <w:bidi w:val="0"/>
        <w:adjustRightInd/>
        <w:snapToGrid/>
        <w:spacing w:line="360" w:lineRule="auto"/>
        <w:ind w:left="0" w:leftChars="0" w:right="0" w:rightChars="0"/>
        <w:jc w:val="both"/>
        <w:textAlignment w:val="auto"/>
        <w:rPr>
          <w:rFonts w:hint="eastAsia" w:ascii="宋体" w:hAnsi="宋体" w:eastAsia="宋体" w:cs="宋体"/>
          <w:sz w:val="24"/>
          <w:szCs w:val="24"/>
        </w:rPr>
      </w:pPr>
    </w:p>
    <w:p>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z w:val="24"/>
          <w:szCs w:val="24"/>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9</w:t>
    </w:r>
    <w:r>
      <w:rPr>
        <w:rStyle w:val="9"/>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7D1"/>
    <w:rsid w:val="000543D1"/>
    <w:rsid w:val="00096ED3"/>
    <w:rsid w:val="00280BCA"/>
    <w:rsid w:val="0036453C"/>
    <w:rsid w:val="00433F1F"/>
    <w:rsid w:val="005A3EF4"/>
    <w:rsid w:val="00643E57"/>
    <w:rsid w:val="006701CF"/>
    <w:rsid w:val="00806B04"/>
    <w:rsid w:val="008A58C8"/>
    <w:rsid w:val="008B6FF8"/>
    <w:rsid w:val="00940824"/>
    <w:rsid w:val="009545C8"/>
    <w:rsid w:val="00A61D4A"/>
    <w:rsid w:val="00A811F3"/>
    <w:rsid w:val="00AB297A"/>
    <w:rsid w:val="00AE4AB1"/>
    <w:rsid w:val="00B732ED"/>
    <w:rsid w:val="00C770FE"/>
    <w:rsid w:val="00D80721"/>
    <w:rsid w:val="00D855B2"/>
    <w:rsid w:val="00E5577B"/>
    <w:rsid w:val="00E76BCD"/>
    <w:rsid w:val="00E907D1"/>
    <w:rsid w:val="00EE0499"/>
    <w:rsid w:val="14963E75"/>
    <w:rsid w:val="3AE32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13"/>
    <w:qFormat/>
    <w:uiPriority w:val="0"/>
    <w:pPr>
      <w:keepNext/>
      <w:keepLines/>
      <w:spacing w:before="340" w:after="330" w:line="576" w:lineRule="auto"/>
      <w:outlineLvl w:val="0"/>
    </w:pPr>
    <w:rPr>
      <w:b/>
      <w:bCs/>
      <w:kern w:val="44"/>
      <w:sz w:val="44"/>
      <w:szCs w:val="44"/>
    </w:rPr>
  </w:style>
  <w:style w:type="character" w:default="1" w:styleId="7">
    <w:name w:val="Default Paragraph Font"/>
    <w:unhideWhenUsed/>
    <w:uiPriority w:val="1"/>
  </w:style>
  <w:style w:type="table" w:default="1" w:styleId="11">
    <w:name w:val="Normal Table"/>
    <w:unhideWhenUsed/>
    <w:uiPriority w:val="99"/>
    <w:tblPr>
      <w:tblLayout w:type="fixed"/>
      <w:tblCellMar>
        <w:top w:w="0" w:type="dxa"/>
        <w:left w:w="108" w:type="dxa"/>
        <w:bottom w:w="0" w:type="dxa"/>
        <w:right w:w="108" w:type="dxa"/>
      </w:tblCellMar>
    </w:tblPr>
  </w:style>
  <w:style w:type="paragraph" w:styleId="3">
    <w:name w:val="Date"/>
    <w:basedOn w:val="1"/>
    <w:next w:val="1"/>
    <w:link w:val="12"/>
    <w:unhideWhenUsed/>
    <w:uiPriority w:val="99"/>
    <w:pPr>
      <w:ind w:left="100" w:leftChars="2500"/>
    </w:pPr>
  </w:style>
  <w:style w:type="paragraph" w:styleId="4">
    <w:name w:val="footer"/>
    <w:basedOn w:val="1"/>
    <w:link w:val="18"/>
    <w:unhideWhenUsed/>
    <w:qFormat/>
    <w:uiPriority w:val="99"/>
    <w:pPr>
      <w:tabs>
        <w:tab w:val="center" w:pos="4153"/>
        <w:tab w:val="right" w:pos="8306"/>
      </w:tabs>
      <w:snapToGrid w:val="0"/>
      <w:jc w:val="left"/>
    </w:pPr>
    <w:rPr>
      <w:sz w:val="18"/>
      <w:szCs w:val="18"/>
    </w:rPr>
  </w:style>
  <w:style w:type="paragraph" w:styleId="5">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style>
  <w:style w:type="character" w:styleId="8">
    <w:name w:val="Strong"/>
    <w:qFormat/>
    <w:uiPriority w:val="0"/>
    <w:rPr>
      <w:b/>
      <w:bCs/>
    </w:rPr>
  </w:style>
  <w:style w:type="character" w:styleId="9">
    <w:name w:val="page number"/>
    <w:basedOn w:val="7"/>
    <w:unhideWhenUsed/>
    <w:qFormat/>
    <w:uiPriority w:val="99"/>
  </w:style>
  <w:style w:type="character" w:styleId="10">
    <w:name w:val="Hyperlink"/>
    <w:basedOn w:val="7"/>
    <w:unhideWhenUsed/>
    <w:qFormat/>
    <w:uiPriority w:val="99"/>
    <w:rPr>
      <w:color w:val="0563C1" w:themeColor="hyperlink"/>
      <w:u w:val="single"/>
      <w14:textFill>
        <w14:solidFill>
          <w14:schemeClr w14:val="hlink"/>
        </w14:solidFill>
      </w14:textFill>
    </w:rPr>
  </w:style>
  <w:style w:type="character" w:customStyle="1" w:styleId="12">
    <w:name w:val="日期 Char"/>
    <w:basedOn w:val="7"/>
    <w:link w:val="3"/>
    <w:semiHidden/>
    <w:uiPriority w:val="99"/>
    <w:rPr>
      <w:rFonts w:ascii="Times New Roman" w:hAnsi="Times New Roman" w:eastAsia="宋体" w:cs="Times New Roman"/>
      <w:szCs w:val="20"/>
    </w:rPr>
  </w:style>
  <w:style w:type="character" w:customStyle="1" w:styleId="13">
    <w:name w:val="标题 1 Char"/>
    <w:basedOn w:val="7"/>
    <w:link w:val="2"/>
    <w:qFormat/>
    <w:uiPriority w:val="0"/>
    <w:rPr>
      <w:rFonts w:ascii="Times New Roman" w:hAnsi="Times New Roman" w:eastAsia="宋体" w:cs="Times New Roman"/>
      <w:b/>
      <w:bCs/>
      <w:kern w:val="44"/>
      <w:sz w:val="44"/>
      <w:szCs w:val="44"/>
    </w:rPr>
  </w:style>
  <w:style w:type="paragraph" w:customStyle="1" w:styleId="14">
    <w:name w:val="Char1 Char Char Char"/>
    <w:basedOn w:val="1"/>
    <w:qFormat/>
    <w:uiPriority w:val="0"/>
    <w:pPr>
      <w:widowControl w:val="0"/>
      <w:spacing w:line="360" w:lineRule="auto"/>
    </w:pPr>
    <w:rPr>
      <w:rFonts w:ascii="Tahoma" w:hAnsi="Tahoma"/>
      <w:sz w:val="24"/>
    </w:rPr>
  </w:style>
  <w:style w:type="paragraph" w:customStyle="1" w:styleId="15">
    <w:name w:val="Char1 Char Char Char1"/>
    <w:basedOn w:val="1"/>
    <w:qFormat/>
    <w:uiPriority w:val="0"/>
    <w:pPr>
      <w:widowControl w:val="0"/>
      <w:spacing w:line="360" w:lineRule="auto"/>
    </w:pPr>
    <w:rPr>
      <w:rFonts w:ascii="Tahoma" w:hAnsi="Tahoma"/>
      <w:sz w:val="24"/>
    </w:rPr>
  </w:style>
  <w:style w:type="paragraph" w:customStyle="1" w:styleId="16">
    <w:name w:val="TOC Heading"/>
    <w:basedOn w:val="2"/>
    <w:next w:val="1"/>
    <w:unhideWhenUsed/>
    <w:qFormat/>
    <w:uiPriority w:val="39"/>
    <w:pPr>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17">
    <w:name w:val="页眉 Char"/>
    <w:basedOn w:val="7"/>
    <w:link w:val="5"/>
    <w:qFormat/>
    <w:uiPriority w:val="99"/>
    <w:rPr>
      <w:rFonts w:ascii="Times New Roman" w:hAnsi="Times New Roman" w:eastAsia="宋体" w:cs="Times New Roman"/>
      <w:sz w:val="18"/>
      <w:szCs w:val="18"/>
    </w:rPr>
  </w:style>
  <w:style w:type="character" w:customStyle="1" w:styleId="18">
    <w:name w:val="页脚 Char"/>
    <w:basedOn w:val="7"/>
    <w:link w:val="4"/>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EED522-E34F-4879-9E3D-C87DF0613615}">
  <ds:schemaRefs/>
</ds:datastoreItem>
</file>

<file path=docProps/app.xml><?xml version="1.0" encoding="utf-8"?>
<Properties xmlns="http://schemas.openxmlformats.org/officeDocument/2006/extended-properties" xmlns:vt="http://schemas.openxmlformats.org/officeDocument/2006/docPropsVTypes">
  <Template>Normal</Template>
  <Company> </Company>
  <Pages>12</Pages>
  <Words>871</Words>
  <Characters>4970</Characters>
  <Lines>41</Lines>
  <Paragraphs>11</Paragraphs>
  <TotalTime>0</TotalTime>
  <ScaleCrop>false</ScaleCrop>
  <LinksUpToDate>false</LinksUpToDate>
  <CharactersWithSpaces>5830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2017-08-10T13:12:00Z</dcterms:created>
  <dc:creator>wang</dc:creator>
  <cp:lastModifiedBy>tianjiarun</cp:lastModifiedBy>
  <dcterms:modified xsi:type="dcterms:W3CDTF">2017-10-20T10:25:02Z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